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72" w:lineRule="atLeast"/>
        <w:ind w:left="0" w:right="0"/>
        <w:jc w:val="center"/>
        <w:rPr>
          <w:sz w:val="45"/>
          <w:szCs w:val="45"/>
        </w:rPr>
      </w:pPr>
      <w:r>
        <w:rPr>
          <w:sz w:val="45"/>
          <w:szCs w:val="45"/>
        </w:rPr>
        <w:t xml:space="preserve">淮北市统计局2019年政府信息公开工作年度报告 </w:t>
      </w:r>
    </w:p>
    <w:p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</w:pPr>
      <w:r>
        <w:rPr>
          <w:rFonts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淮北市统计局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</w:t>
      </w: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 xml:space="preserve">2019年1月1日起至2019年12月31日止。 如有疑问，请与淮北市统计局办公室联系。（地址：淮北市人民路196号信访中心六楼，邮编：235000，电话:0561-3198326）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2019年，我局对本年度</w:t>
      </w:r>
      <w:r>
        <w:rPr>
          <w:rFonts w:hint="eastAsia" w:ascii="楷体" w:hAnsi="楷体" w:eastAsia="楷体" w:cs="楷体"/>
          <w:color w:val="000000"/>
          <w:kern w:val="2"/>
          <w:sz w:val="30"/>
          <w:szCs w:val="30"/>
          <w:shd w:val="clear" w:fill="FFFFFF"/>
          <w:lang w:val="en-US" w:eastAsia="zh-CN" w:bidi="ar"/>
        </w:rPr>
        <w:t>公开的政府信息进行了认真的梳理和编目，</w:t>
      </w: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截至12月31日，新增主动公开政府信息576条，累计主动公开政府信息达3663条。</w:t>
      </w:r>
      <w:r>
        <w:rPr>
          <w:rFonts w:hint="eastAsia" w:ascii="楷体" w:hAnsi="楷体" w:eastAsia="楷体" w:cs="楷体"/>
          <w:color w:val="000000"/>
          <w:kern w:val="2"/>
          <w:sz w:val="30"/>
          <w:szCs w:val="30"/>
          <w:shd w:val="clear" w:fill="FFFFFF"/>
          <w:lang w:val="en-US" w:eastAsia="zh-CN" w:bidi="ar"/>
        </w:rPr>
        <w:t>其中包括：政策法规44条，重大决策预公开26条，规划计划5条，决策部署落实情况25条，建议提案办理24条，机构领导19条，机构设置12条，财政资金19条，应急管理6条，精准脱贫14条，权责清单和动态调整情况3条，公共服务清单和中介服务4条，行政权力运行27条，“双随机”一公开2条，招标采购24条，重点领域信息公开188条，新闻发布12条，政策解读15条，回应关切23条，监督保障26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2" w:firstLineChars="200"/>
        <w:jc w:val="center"/>
      </w:pPr>
      <w:r>
        <w:rPr>
          <w:rFonts w:hint="eastAsia" w:ascii="楷体" w:hAnsi="楷体" w:eastAsia="楷体" w:cs="楷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主动公开政府信息情况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734050" cy="34480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2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主动公开情况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/>
          <w:lang w:val="en-US"/>
        </w:rPr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一是重点领域信息公开情况：认真做好我局承担发布职能的“经济与社会发展统计信息”的信息维护工作，及时发布统计公报、统计信息内容，按月按季度发布本市经济运行情况、统计解读信息。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二是开展政策解读工作情况、政策解读数量：2019年市统计局、主动公开涉及统计信息、数据分析、经济运行情况方面的政策解读3篇，宣传政策法规。因部门分工职责不同，市统计局作为经济统计信息服务部门，较少参与制定和发布政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三是回应社会关切情况</w:t>
      </w: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：我局2019对统计信息、人口普查、经济运行情况相关的热点问题及时回应。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（二）依申请公开情况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 xml:space="preserve"> </w:t>
      </w:r>
      <w:r>
        <w:rPr>
          <w:rFonts w:hint="default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2019</w:t>
      </w: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年度我局未接到和办理涉及依申请公开信息的申请。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（三）政府信息公开的收费及减免情况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2019年我局认真按照《政府信息公开条例》等规定公开政府信息，未收取涉及政府信息公开申请任何费用。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（四）政府信息管理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人员方面，市统计局政务公开工作由主要负责同志任组长，分管领导任副组长，相关科室、二级机构负责同志担任领导小组成员，政务公开办设在局办公室。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经费方面，主任办公会议明确，政府信息公开工作经费单独列支，统筹保障。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工作部署方面，规范主动公开、依申请</w:t>
      </w:r>
      <w:bookmarkStart w:id="0" w:name="_GoBack"/>
      <w:bookmarkEnd w:id="0"/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公开流程，明确各处室工作职责和任务分工，强化制度保障。组织办公室全体工作人员学习政务公开新条例，派员参加市政府办组织的政务公开工作培训，确保规范办理信息公开工作。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2"/>
          <w:sz w:val="30"/>
          <w:szCs w:val="30"/>
          <w:shd w:val="clear" w:fill="FFFFFF"/>
          <w:lang w:val="en-US" w:eastAsia="zh-CN" w:bidi="ar"/>
        </w:rPr>
        <w:t>（五）公开平台建设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00" w:firstLineChars="200"/>
        <w:jc w:val="left"/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1、强化门户网站建设，加大网络安全管理，完善制度机制，认真做好网站内容更新维护工作，提升防护水平，确保平台安全平稳运行。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00" w:firstLineChars="200"/>
        <w:jc w:val="left"/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2、积极推动信息资源共享交换，探索研究网上服务向移动端、自助服务终端等延伸，进一步提高政务服务水平。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00" w:firstLineChars="200"/>
        <w:jc w:val="left"/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3、注重发挥新媒体平台作用，定期做好统计微讯、微博的信息发布工作，加强信息审核把关，确保信息发布质量。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00" w:firstLineChars="200"/>
        <w:jc w:val="left"/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4、进一步完善公共服务清单，优化政务服务手段，认真做好统计资料服务和统计信息咨询服务，及时回应社会关切。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  <w:rPr>
          <w:rFonts w:hint="default"/>
          <w:lang w:val="en-US"/>
        </w:rPr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（六）监督保障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/>
          <w:lang w:val="en-US"/>
        </w:rPr>
      </w:pP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>将政务公开工作纳入年度绩效考核，建立健全政府信息公开工作考核制度，定期对政府信息公开工作进行考核。严格遵照局内社会评议制度邀请群众对我局信息公开工作进行监督，对群众反馈的问题严肃对待。2019年，各科室积极配合开展政务公开工作，未发生因不履行政务公开义务而发生的责任追究情况。</w:t>
      </w:r>
      <w:r>
        <w:rPr>
          <w:rFonts w:hint="eastAsia" w:ascii="楷体" w:hAnsi="楷体" w:eastAsia="楷体" w:cs="楷体"/>
          <w:color w:val="333333"/>
          <w:kern w:val="2"/>
          <w:sz w:val="30"/>
          <w:szCs w:val="30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2"/>
          <w:sz w:val="30"/>
          <w:szCs w:val="3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2"/>
          <w:sz w:val="30"/>
          <w:szCs w:val="30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1050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2478"/>
        <w:gridCol w:w="2462"/>
        <w:gridCol w:w="24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行政法规、规章和规范性文件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制作数量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公开数量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规章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规范性文件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办理行政许可和其他对外管理服务事项的依据、条件、程序以及办理结果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行政许可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其他对外管理服务事项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实施行政处罚、行政强制的依据、条件、程序以及本行政机关认为具有一定社会影响的行政处罚决定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行政处罚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行政强制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行政事业性收费项目及其依据、标准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4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行政事业性收费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政府集中采购项目的目录、标准及实施情况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采购项目数量</w:t>
            </w:r>
          </w:p>
        </w:tc>
        <w:tc>
          <w:tcPr>
            <w:tcW w:w="4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政府集中采购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390000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110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536"/>
        <w:gridCol w:w="1969"/>
        <w:gridCol w:w="735"/>
        <w:gridCol w:w="936"/>
        <w:gridCol w:w="936"/>
        <w:gridCol w:w="936"/>
        <w:gridCol w:w="936"/>
        <w:gridCol w:w="936"/>
        <w:gridCol w:w="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3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自然人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法人或其他组织</w:t>
            </w:r>
          </w:p>
        </w:tc>
        <w:tc>
          <w:tcPr>
            <w:tcW w:w="9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商业企业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科研机构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社会公益组织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法律服务机构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</w:t>
            </w:r>
          </w:p>
        </w:tc>
        <w:tc>
          <w:tcPr>
            <w:tcW w:w="9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三、本年度办理结果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（一）予以公开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（三）不予公开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1.属于国家秘密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2.其他法律行政法规禁止公开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3.危及“三安全一稳定”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4.保护第三方合法权益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5.属于三类内部事务信息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6.属于四类过程性信息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7.属于行政执法案卷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8.属于行政查询事项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（四）无法提供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1.本机关不掌握相关政府信息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2.没有现成信息需要另行制作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3.补正后申请内容仍不明确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（五）不予处理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1.信访举报投诉类申请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3.要求提供公开出版物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4.无正当理由大量反复申请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（六）其他处理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（七）总计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四、结转下年度继续办理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楷体" w:hAnsi="楷体" w:eastAsia="楷体" w:cs="楷体"/>
          <w:b/>
          <w:color w:val="333333"/>
          <w:kern w:val="0"/>
          <w:sz w:val="30"/>
          <w:szCs w:val="30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140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行政复议</w:t>
            </w:r>
          </w:p>
        </w:tc>
        <w:tc>
          <w:tcPr>
            <w:tcW w:w="93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未经复议直接起诉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   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    五、存在的主要问题及改进情况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424242"/>
          <w:kern w:val="0"/>
          <w:sz w:val="30"/>
          <w:szCs w:val="30"/>
          <w:shd w:val="clear" w:fill="FFFFFF"/>
          <w:lang w:val="en-US" w:eastAsia="zh-CN" w:bidi="ar"/>
        </w:rPr>
        <w:t>1、</w:t>
      </w:r>
      <w:r>
        <w:rPr>
          <w:rFonts w:hint="eastAsia" w:ascii="楷体" w:hAnsi="楷体" w:eastAsia="楷体" w:cs="楷体"/>
          <w:color w:val="424242"/>
          <w:kern w:val="0"/>
          <w:sz w:val="30"/>
          <w:szCs w:val="30"/>
          <w:shd w:val="clear" w:fill="FFFFFF"/>
          <w:lang w:val="en-US" w:eastAsia="zh-CN" w:bidi="ar"/>
        </w:rPr>
        <w:t>政策解读、回应关切、意见征集、新闻发布等方面的内容和形式还需要进一步丰富。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424242"/>
          <w:kern w:val="0"/>
          <w:sz w:val="30"/>
          <w:szCs w:val="30"/>
          <w:shd w:val="clear" w:fill="FFFFFF"/>
          <w:lang w:val="en-US" w:eastAsia="zh-CN" w:bidi="ar"/>
        </w:rPr>
        <w:t>改进措施：</w:t>
      </w:r>
      <w:r>
        <w:rPr>
          <w:rFonts w:hint="eastAsia" w:ascii="楷体" w:hAnsi="楷体" w:eastAsia="楷体" w:cs="楷体"/>
          <w:color w:val="424242"/>
          <w:kern w:val="0"/>
          <w:sz w:val="30"/>
          <w:szCs w:val="30"/>
          <w:shd w:val="clear" w:fill="FFFFFF"/>
          <w:lang w:val="en-US" w:eastAsia="zh-CN" w:bidi="ar"/>
        </w:rPr>
        <w:t>严格执行《中华人民共和国政府信息公开条例》规定和要求，进一步完善相关公开工作，加大力度和宣传手段，</w:t>
      </w: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实现应公开的政府信息全面、及时、主动予以公开，</w:t>
      </w:r>
      <w:r>
        <w:rPr>
          <w:rFonts w:hint="eastAsia" w:ascii="楷体" w:hAnsi="楷体" w:eastAsia="楷体" w:cs="楷体"/>
          <w:color w:val="424242"/>
          <w:kern w:val="0"/>
          <w:sz w:val="30"/>
          <w:szCs w:val="30"/>
          <w:shd w:val="clear" w:fill="FFFFFF"/>
          <w:lang w:val="en-US" w:eastAsia="zh-CN" w:bidi="ar"/>
        </w:rPr>
        <w:t>以深化政策解读、积极回应关切、扩大公众参与为抓手，全面提升政务公开工作水平。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0" w:right="0" w:firstLine="602" w:firstLineChars="200"/>
      </w:pPr>
      <w:r>
        <w:rPr>
          <w:rFonts w:hint="eastAsia" w:ascii="楷体" w:hAnsi="楷体" w:eastAsia="楷体" w:cs="楷体"/>
          <w:b/>
          <w:color w:val="424242"/>
          <w:kern w:val="0"/>
          <w:sz w:val="30"/>
          <w:szCs w:val="30"/>
          <w:shd w:val="clear" w:fill="FFFFFF"/>
          <w:lang w:val="en-US" w:eastAsia="zh-CN" w:bidi="ar"/>
        </w:rPr>
        <w:t>2、</w:t>
      </w:r>
      <w:r>
        <w:rPr>
          <w:rFonts w:hint="eastAsia" w:ascii="楷体" w:hAnsi="楷体" w:eastAsia="楷体" w:cs="楷体"/>
          <w:color w:val="424242"/>
          <w:kern w:val="0"/>
          <w:sz w:val="30"/>
          <w:szCs w:val="30"/>
        </w:rPr>
        <w:t>局门户网站信息报送和内容保障工作需进一步加强和规范，主动公开的意识有待进一步强化。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424242"/>
          <w:kern w:val="0"/>
          <w:sz w:val="30"/>
          <w:szCs w:val="30"/>
          <w:shd w:val="clear" w:fill="FFFFFF"/>
          <w:lang w:val="en-US" w:eastAsia="zh-CN" w:bidi="ar"/>
        </w:rPr>
        <w:t>改进措施：</w:t>
      </w:r>
      <w:r>
        <w:rPr>
          <w:rFonts w:hint="eastAsia" w:ascii="楷体" w:hAnsi="楷体" w:eastAsia="楷体" w:cs="楷体"/>
          <w:color w:val="424242"/>
          <w:kern w:val="2"/>
          <w:sz w:val="30"/>
          <w:szCs w:val="30"/>
          <w:shd w:val="clear" w:fill="FFFFFF"/>
          <w:lang w:val="en-US" w:eastAsia="zh-CN" w:bidi="ar"/>
        </w:rPr>
        <w:t>加强政府信息发布登记、统计、通报、监督检查等制度，细化操作办法，将政府信息公开的责任落实到人，建立长效的监督管理机制，实现应公开的政府信息全面、及时、主动予以公开。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2" w:firstLineChars="200"/>
        <w:jc w:val="left"/>
      </w:pPr>
      <w:r>
        <w:rPr>
          <w:rFonts w:hint="eastAsia" w:ascii="楷体" w:hAnsi="楷体" w:eastAsia="楷体" w:cs="楷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540" w:lineRule="atLeast"/>
        <w:ind w:left="0" w:right="0" w:firstLine="600" w:firstLineChars="200"/>
      </w:pPr>
      <w:r>
        <w:rPr>
          <w:rFonts w:hint="eastAsia" w:ascii="楷体" w:hAnsi="楷体" w:eastAsia="楷体" w:cs="楷体"/>
          <w:color w:val="424242"/>
          <w:kern w:val="0"/>
          <w:sz w:val="30"/>
          <w:szCs w:val="30"/>
        </w:rPr>
        <w:t>淮北市统计局无其他报告事项。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C1DEB"/>
    <w:rsid w:val="2D9E6FD6"/>
    <w:rsid w:val="674215D1"/>
    <w:rsid w:val="6F5736B7"/>
    <w:rsid w:val="7356674D"/>
    <w:rsid w:val="7D0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vanish/>
      <w:sz w:val="21"/>
      <w:szCs w:val="21"/>
    </w:rPr>
  </w:style>
  <w:style w:type="character" w:customStyle="1" w:styleId="14">
    <w:name w:val="nostart6"/>
    <w:basedOn w:val="5"/>
    <w:qFormat/>
    <w:uiPriority w:val="0"/>
    <w:rPr>
      <w:color w:val="FF0000"/>
    </w:rPr>
  </w:style>
  <w:style w:type="character" w:customStyle="1" w:styleId="15">
    <w:name w:val="bsharetext"/>
    <w:basedOn w:val="5"/>
    <w:qFormat/>
    <w:uiPriority w:val="0"/>
  </w:style>
  <w:style w:type="character" w:customStyle="1" w:styleId="16">
    <w:name w:val="over6"/>
    <w:basedOn w:val="5"/>
    <w:qFormat/>
    <w:uiPriority w:val="0"/>
    <w:rPr>
      <w:color w:val="B60000"/>
    </w:rPr>
  </w:style>
  <w:style w:type="character" w:customStyle="1" w:styleId="17">
    <w:name w:val="over7"/>
    <w:basedOn w:val="5"/>
    <w:qFormat/>
    <w:uiPriority w:val="0"/>
    <w:rPr>
      <w:color w:val="FF0000"/>
    </w:rPr>
  </w:style>
  <w:style w:type="character" w:customStyle="1" w:styleId="18">
    <w:name w:val="starting4"/>
    <w:basedOn w:val="5"/>
    <w:qFormat/>
    <w:uiPriority w:val="0"/>
    <w:rPr>
      <w:color w:val="339900"/>
    </w:rPr>
  </w:style>
  <w:style w:type="character" w:customStyle="1" w:styleId="19">
    <w:name w:val="starting5"/>
    <w:basedOn w:val="5"/>
    <w:uiPriority w:val="0"/>
    <w:rPr>
      <w:color w:val="339900"/>
    </w:rPr>
  </w:style>
  <w:style w:type="character" w:customStyle="1" w:styleId="20">
    <w:name w:val="tit8"/>
    <w:basedOn w:val="5"/>
    <w:qFormat/>
    <w:uiPriority w:val="0"/>
  </w:style>
  <w:style w:type="character" w:customStyle="1" w:styleId="21">
    <w:name w:val="tit9"/>
    <w:basedOn w:val="5"/>
    <w:qFormat/>
    <w:uiPriority w:val="0"/>
    <w:rPr>
      <w:sz w:val="21"/>
      <w:szCs w:val="21"/>
    </w:rPr>
  </w:style>
  <w:style w:type="character" w:customStyle="1" w:styleId="22">
    <w:name w:val="tit10"/>
    <w:basedOn w:val="5"/>
    <w:qFormat/>
    <w:uiPriority w:val="0"/>
    <w:rPr>
      <w:b/>
    </w:rPr>
  </w:style>
  <w:style w:type="character" w:customStyle="1" w:styleId="23">
    <w:name w:val="tit11"/>
    <w:basedOn w:val="5"/>
    <w:qFormat/>
    <w:uiPriority w:val="0"/>
    <w:rPr>
      <w:vanish/>
    </w:rPr>
  </w:style>
  <w:style w:type="character" w:customStyle="1" w:styleId="24">
    <w:name w:val="ico52"/>
    <w:basedOn w:val="5"/>
    <w:qFormat/>
    <w:uiPriority w:val="0"/>
  </w:style>
  <w:style w:type="character" w:customStyle="1" w:styleId="25">
    <w:name w:val="ico53"/>
    <w:basedOn w:val="5"/>
    <w:qFormat/>
    <w:uiPriority w:val="0"/>
  </w:style>
  <w:style w:type="character" w:customStyle="1" w:styleId="26">
    <w:name w:val="ico54"/>
    <w:basedOn w:val="5"/>
    <w:qFormat/>
    <w:uiPriority w:val="0"/>
  </w:style>
  <w:style w:type="character" w:customStyle="1" w:styleId="27">
    <w:name w:val="ico55"/>
    <w:basedOn w:val="5"/>
    <w:uiPriority w:val="0"/>
  </w:style>
  <w:style w:type="character" w:customStyle="1" w:styleId="28">
    <w:name w:val="ico56"/>
    <w:basedOn w:val="5"/>
    <w:qFormat/>
    <w:uiPriority w:val="0"/>
  </w:style>
  <w:style w:type="character" w:customStyle="1" w:styleId="29">
    <w:name w:val="ico57"/>
    <w:basedOn w:val="5"/>
    <w:qFormat/>
    <w:uiPriority w:val="0"/>
  </w:style>
  <w:style w:type="character" w:customStyle="1" w:styleId="30">
    <w:name w:val="ico58"/>
    <w:basedOn w:val="5"/>
    <w:qFormat/>
    <w:uiPriority w:val="0"/>
  </w:style>
  <w:style w:type="character" w:customStyle="1" w:styleId="31">
    <w:name w:val="ico59"/>
    <w:basedOn w:val="5"/>
    <w:qFormat/>
    <w:uiPriority w:val="0"/>
  </w:style>
  <w:style w:type="character" w:customStyle="1" w:styleId="32">
    <w:name w:val="ico60"/>
    <w:basedOn w:val="5"/>
    <w:qFormat/>
    <w:uiPriority w:val="0"/>
  </w:style>
  <w:style w:type="character" w:customStyle="1" w:styleId="33">
    <w:name w:val="ico61"/>
    <w:basedOn w:val="5"/>
    <w:qFormat/>
    <w:uiPriority w:val="0"/>
  </w:style>
  <w:style w:type="character" w:customStyle="1" w:styleId="34">
    <w:name w:val="ico62"/>
    <w:basedOn w:val="5"/>
    <w:qFormat/>
    <w:uiPriority w:val="0"/>
  </w:style>
  <w:style w:type="character" w:customStyle="1" w:styleId="35">
    <w:name w:val="ico63"/>
    <w:basedOn w:val="5"/>
    <w:qFormat/>
    <w:uiPriority w:val="0"/>
  </w:style>
  <w:style w:type="character" w:customStyle="1" w:styleId="36">
    <w:name w:val="ico64"/>
    <w:basedOn w:val="5"/>
    <w:qFormat/>
    <w:uiPriority w:val="0"/>
  </w:style>
  <w:style w:type="character" w:customStyle="1" w:styleId="37">
    <w:name w:val="ico65"/>
    <w:basedOn w:val="5"/>
    <w:qFormat/>
    <w:uiPriority w:val="0"/>
  </w:style>
  <w:style w:type="character" w:customStyle="1" w:styleId="38">
    <w:name w:val="ico66"/>
    <w:basedOn w:val="5"/>
    <w:qFormat/>
    <w:uiPriority w:val="0"/>
  </w:style>
  <w:style w:type="character" w:customStyle="1" w:styleId="39">
    <w:name w:val="ico67"/>
    <w:basedOn w:val="5"/>
    <w:qFormat/>
    <w:uiPriority w:val="0"/>
  </w:style>
  <w:style w:type="character" w:customStyle="1" w:styleId="40">
    <w:name w:val="ico68"/>
    <w:basedOn w:val="5"/>
    <w:uiPriority w:val="0"/>
  </w:style>
  <w:style w:type="character" w:customStyle="1" w:styleId="41">
    <w:name w:val="ico69"/>
    <w:basedOn w:val="5"/>
    <w:uiPriority w:val="0"/>
  </w:style>
  <w:style w:type="character" w:customStyle="1" w:styleId="42">
    <w:name w:val="ico70"/>
    <w:basedOn w:val="5"/>
    <w:qFormat/>
    <w:uiPriority w:val="0"/>
  </w:style>
  <w:style w:type="character" w:customStyle="1" w:styleId="43">
    <w:name w:val="ico71"/>
    <w:basedOn w:val="5"/>
    <w:qFormat/>
    <w:uiPriority w:val="0"/>
  </w:style>
  <w:style w:type="character" w:customStyle="1" w:styleId="44">
    <w:name w:val="ico72"/>
    <w:basedOn w:val="5"/>
    <w:qFormat/>
    <w:uiPriority w:val="0"/>
  </w:style>
  <w:style w:type="character" w:customStyle="1" w:styleId="45">
    <w:name w:val="ico73"/>
    <w:basedOn w:val="5"/>
    <w:uiPriority w:val="0"/>
    <w:rPr>
      <w:vanish/>
    </w:rPr>
  </w:style>
  <w:style w:type="character" w:customStyle="1" w:styleId="46">
    <w:name w:val="buvis"/>
    <w:basedOn w:val="5"/>
    <w:qFormat/>
    <w:uiPriority w:val="0"/>
    <w:rPr>
      <w:color w:val="CC0000"/>
    </w:rPr>
  </w:style>
  <w:style w:type="character" w:customStyle="1" w:styleId="47">
    <w:name w:val="buvis1"/>
    <w:basedOn w:val="5"/>
    <w:qFormat/>
    <w:uiPriority w:val="0"/>
    <w:rPr>
      <w:color w:val="999999"/>
    </w:rPr>
  </w:style>
  <w:style w:type="character" w:customStyle="1" w:styleId="48">
    <w:name w:val="datetime"/>
    <w:basedOn w:val="5"/>
    <w:qFormat/>
    <w:uiPriority w:val="0"/>
    <w:rPr>
      <w:rFonts w:hint="default" w:ascii="Arial" w:hAnsi="Arial" w:cs="Arial"/>
      <w:color w:val="999999"/>
      <w:sz w:val="16"/>
      <w:szCs w:val="16"/>
    </w:rPr>
  </w:style>
  <w:style w:type="character" w:customStyle="1" w:styleId="49">
    <w:name w:val="img-title"/>
    <w:basedOn w:val="5"/>
    <w:qFormat/>
    <w:uiPriority w:val="0"/>
    <w:rPr>
      <w:vanish/>
    </w:rPr>
  </w:style>
  <w:style w:type="character" w:customStyle="1" w:styleId="50">
    <w:name w:val="tit"/>
    <w:basedOn w:val="5"/>
    <w:qFormat/>
    <w:uiPriority w:val="0"/>
    <w:rPr>
      <w:sz w:val="21"/>
      <w:szCs w:val="21"/>
    </w:rPr>
  </w:style>
  <w:style w:type="character" w:customStyle="1" w:styleId="51">
    <w:name w:val="tit1"/>
    <w:basedOn w:val="5"/>
    <w:qFormat/>
    <w:uiPriority w:val="0"/>
  </w:style>
  <w:style w:type="character" w:customStyle="1" w:styleId="52">
    <w:name w:val="tit2"/>
    <w:basedOn w:val="5"/>
    <w:qFormat/>
    <w:uiPriority w:val="0"/>
    <w:rPr>
      <w:b/>
    </w:rPr>
  </w:style>
  <w:style w:type="character" w:customStyle="1" w:styleId="53">
    <w:name w:val="ico"/>
    <w:basedOn w:val="5"/>
    <w:qFormat/>
    <w:uiPriority w:val="0"/>
  </w:style>
  <w:style w:type="character" w:customStyle="1" w:styleId="54">
    <w:name w:val="ico1"/>
    <w:basedOn w:val="5"/>
    <w:qFormat/>
    <w:uiPriority w:val="0"/>
  </w:style>
  <w:style w:type="character" w:customStyle="1" w:styleId="55">
    <w:name w:val="ico2"/>
    <w:basedOn w:val="5"/>
    <w:qFormat/>
    <w:uiPriority w:val="0"/>
  </w:style>
  <w:style w:type="character" w:customStyle="1" w:styleId="56">
    <w:name w:val="ico3"/>
    <w:basedOn w:val="5"/>
    <w:uiPriority w:val="0"/>
  </w:style>
  <w:style w:type="character" w:customStyle="1" w:styleId="57">
    <w:name w:val="ico4"/>
    <w:basedOn w:val="5"/>
    <w:qFormat/>
    <w:uiPriority w:val="0"/>
  </w:style>
  <w:style w:type="character" w:customStyle="1" w:styleId="58">
    <w:name w:val="ico5"/>
    <w:basedOn w:val="5"/>
    <w:qFormat/>
    <w:uiPriority w:val="0"/>
  </w:style>
  <w:style w:type="character" w:customStyle="1" w:styleId="59">
    <w:name w:val="ico6"/>
    <w:basedOn w:val="5"/>
    <w:qFormat/>
    <w:uiPriority w:val="0"/>
  </w:style>
  <w:style w:type="character" w:customStyle="1" w:styleId="60">
    <w:name w:val="ico7"/>
    <w:basedOn w:val="5"/>
    <w:uiPriority w:val="0"/>
  </w:style>
  <w:style w:type="character" w:customStyle="1" w:styleId="61">
    <w:name w:val="ico8"/>
    <w:basedOn w:val="5"/>
    <w:uiPriority w:val="0"/>
  </w:style>
  <w:style w:type="character" w:customStyle="1" w:styleId="62">
    <w:name w:val="ico9"/>
    <w:basedOn w:val="5"/>
    <w:uiPriority w:val="0"/>
  </w:style>
  <w:style w:type="character" w:customStyle="1" w:styleId="63">
    <w:name w:val="ico10"/>
    <w:basedOn w:val="5"/>
    <w:uiPriority w:val="0"/>
  </w:style>
  <w:style w:type="character" w:customStyle="1" w:styleId="64">
    <w:name w:val="ico11"/>
    <w:basedOn w:val="5"/>
    <w:uiPriority w:val="0"/>
  </w:style>
  <w:style w:type="character" w:customStyle="1" w:styleId="65">
    <w:name w:val="ico12"/>
    <w:basedOn w:val="5"/>
    <w:uiPriority w:val="0"/>
  </w:style>
  <w:style w:type="character" w:customStyle="1" w:styleId="66">
    <w:name w:val="ico13"/>
    <w:basedOn w:val="5"/>
    <w:qFormat/>
    <w:uiPriority w:val="0"/>
  </w:style>
  <w:style w:type="character" w:customStyle="1" w:styleId="67">
    <w:name w:val="ico14"/>
    <w:basedOn w:val="5"/>
    <w:qFormat/>
    <w:uiPriority w:val="0"/>
  </w:style>
  <w:style w:type="character" w:customStyle="1" w:styleId="68">
    <w:name w:val="ico15"/>
    <w:basedOn w:val="5"/>
    <w:qFormat/>
    <w:uiPriority w:val="0"/>
  </w:style>
  <w:style w:type="character" w:customStyle="1" w:styleId="69">
    <w:name w:val="ico16"/>
    <w:basedOn w:val="5"/>
    <w:qFormat/>
    <w:uiPriority w:val="0"/>
  </w:style>
  <w:style w:type="character" w:customStyle="1" w:styleId="70">
    <w:name w:val="ico17"/>
    <w:basedOn w:val="5"/>
    <w:qFormat/>
    <w:uiPriority w:val="0"/>
  </w:style>
  <w:style w:type="character" w:customStyle="1" w:styleId="71">
    <w:name w:val="ico18"/>
    <w:basedOn w:val="5"/>
    <w:qFormat/>
    <w:uiPriority w:val="0"/>
  </w:style>
  <w:style w:type="character" w:customStyle="1" w:styleId="72">
    <w:name w:val="ico19"/>
    <w:basedOn w:val="5"/>
    <w:qFormat/>
    <w:uiPriority w:val="0"/>
  </w:style>
  <w:style w:type="character" w:customStyle="1" w:styleId="73">
    <w:name w:val="ico20"/>
    <w:basedOn w:val="5"/>
    <w:qFormat/>
    <w:uiPriority w:val="0"/>
  </w:style>
  <w:style w:type="character" w:customStyle="1" w:styleId="74">
    <w:name w:val="ico21"/>
    <w:basedOn w:val="5"/>
    <w:qFormat/>
    <w:uiPriority w:val="0"/>
    <w:rPr>
      <w:vanish/>
    </w:rPr>
  </w:style>
  <w:style w:type="character" w:customStyle="1" w:styleId="75">
    <w:name w:val="over"/>
    <w:basedOn w:val="5"/>
    <w:qFormat/>
    <w:uiPriority w:val="0"/>
    <w:rPr>
      <w:color w:val="B60000"/>
    </w:rPr>
  </w:style>
  <w:style w:type="character" w:customStyle="1" w:styleId="76">
    <w:name w:val="over1"/>
    <w:basedOn w:val="5"/>
    <w:qFormat/>
    <w:uiPriority w:val="0"/>
    <w:rPr>
      <w:color w:val="B60000"/>
    </w:rPr>
  </w:style>
  <w:style w:type="character" w:customStyle="1" w:styleId="77">
    <w:name w:val="nostart7"/>
    <w:basedOn w:val="5"/>
    <w:qFormat/>
    <w:uiPriority w:val="0"/>
    <w:rPr>
      <w:color w:val="FF0000"/>
    </w:rPr>
  </w:style>
  <w:style w:type="character" w:customStyle="1" w:styleId="78">
    <w:name w:val="starting3"/>
    <w:basedOn w:val="5"/>
    <w:qFormat/>
    <w:uiPriority w:val="0"/>
    <w:rPr>
      <w:color w:val="3399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2020-02-03T02:16:00Z</dcterms:created>
  <dc:creator>admin</dc:creator>
  <cp:lastModifiedBy>Oo羽oO</cp:lastModifiedBy>
  <dcterms:modified xsi:type="dcterms:W3CDTF">2020-04-22T09:45:12Z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