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淮北市202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统计公报</w:t>
      </w: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2023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年是全面贯彻党的二十大精神的开局之年，面对复杂严峻的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外部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环境和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艰巨繁重的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改革发展稳定任务，全市上下坚持以习近平新时代中国特色社会主义思想为指导，深入学习贯彻落实党的二十大和二十届二中全会精神，认真落实省委、省政府及市委、市政府决策部署，坚持稳中求进工作总基调，完整、准确、全面贯彻新发展理念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接续奋斗、砥砺前行，全力拼经济、稳增长，拼作风、提效能，拼服务、优环境，全市经济回升向好，转型质效全面提升，“五宜”幸福城市建设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向新台阶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color w:val="auto"/>
          <w:sz w:val="32"/>
          <w:szCs w:val="32"/>
          <w:highlight w:val="none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初步核算，全年全市实现GDP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1365.5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比上年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%。其中，第一产业增加值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89.7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%；第二产业增加值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584.9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6.1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%；第三产业增加值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690.9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5.0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%。三次产业结构为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：4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.8：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50.6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</w:t>
      </w:r>
      <w:r>
        <w:rPr>
          <w:rFonts w:hint="eastAsia" w:ascii="Times New Roman" w:hAnsi="宋体"/>
          <w:b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年全市生产总值(GDP)</w:t>
      </w:r>
    </w:p>
    <w:tbl>
      <w:tblPr>
        <w:tblStyle w:val="4"/>
        <w:tblW w:w="894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0"/>
        <w:gridCol w:w="2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完成数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（亿元）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比上年增长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6" w:firstLineChars="2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地区生产总值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1365.5</w:t>
            </w:r>
          </w:p>
        </w:tc>
        <w:tc>
          <w:tcPr>
            <w:tcW w:w="24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其中：第一产业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89.7</w:t>
            </w:r>
          </w:p>
        </w:tc>
        <w:tc>
          <w:tcPr>
            <w:tcW w:w="24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120" w:firstLineChars="40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第二产业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584.9</w:t>
            </w:r>
          </w:p>
        </w:tc>
        <w:tc>
          <w:tcPr>
            <w:tcW w:w="24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120" w:firstLineChars="40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第三产业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690.9</w:t>
            </w:r>
          </w:p>
        </w:tc>
        <w:tc>
          <w:tcPr>
            <w:tcW w:w="24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781" w:rightChars="37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5.0</w:t>
            </w:r>
          </w:p>
        </w:tc>
      </w:tr>
    </w:tbl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图</w:t>
      </w:r>
      <w:r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  <w:t>1</w:t>
      </w: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-202</w:t>
      </w:r>
      <w:r>
        <w:rPr>
          <w:rFonts w:hint="eastAsia" w:ascii="Times New Roman" w:hAnsi="Times New Roman" w:eastAsia="方正小标宋简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年三次产业结构比例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213360</wp:posOffset>
            </wp:positionV>
            <wp:extent cx="4333875" cy="257175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216535</wp:posOffset>
            </wp:positionV>
            <wp:extent cx="4325620" cy="257175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年末全市户籍人口218.0万人，比上年减少3066人，其中城镇人口124.0万人，乡村人口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94.0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常住人口19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万人，比上年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减少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万人。户籍人口城镇化率56.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0.1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个百分点；常住人口城镇化率6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5.64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%，提高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个百分点。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全年人口出生率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6.54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‰，人口死亡率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8.25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‰，人口自然增长率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为下降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1.71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‰。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</w:t>
      </w:r>
      <w:r>
        <w:rPr>
          <w:rFonts w:hint="eastAsia" w:ascii="Times New Roman" w:hAnsi="宋体"/>
          <w:b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：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年末全市户籍人口及构成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2665"/>
        <w:gridCol w:w="26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4"/>
                <w:highlight w:val="none"/>
              </w:rPr>
              <w:t>指标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4"/>
                <w:highlight w:val="none"/>
              </w:rPr>
              <w:t>年末数（人）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4"/>
                <w:highlight w:val="none"/>
              </w:rPr>
              <w:t>比重（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全市户籍人口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2180287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-122" w:rightChars="-58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其中：城镇人口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1240316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56.89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乡村人口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939971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43.11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其中：男性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1120769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51.40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女性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1059518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48.60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其中：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0-17</w:t>
            </w: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456172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20.92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18-34</w:t>
            </w: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477516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21.90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35-59</w:t>
            </w: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844104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38.72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77" w:type="dxa"/>
            <w:noWrap w:val="0"/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60</w:t>
            </w:r>
            <w:r>
              <w:rPr>
                <w:rFonts w:ascii="Times New Roman" w:hAnsi="宋体"/>
                <w:color w:val="auto"/>
                <w:kern w:val="0"/>
                <w:sz w:val="24"/>
                <w:highlight w:val="none"/>
              </w:rPr>
              <w:t>岁以上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402495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widowControl/>
              <w:spacing w:line="400" w:lineRule="exact"/>
              <w:ind w:right="756" w:rightChars="360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18.46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全年居民消费价格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持平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，构成居民消费的八大类商品价格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五涨三降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其中，其他用品及服务价格上涨3.9%，衣着价格上涨1.7%，医疗保健价格上涨1.5%，教育文化娱乐价格上涨1.3%，生活用品及服务价格上涨0.5%；交通通信价格下降2.5%，食品烟酒价格下降0.6%，居住价格下降0.1%。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</w:t>
      </w:r>
      <w:r>
        <w:rPr>
          <w:rFonts w:hint="eastAsia" w:ascii="Times New Roman" w:hAnsi="宋体"/>
          <w:b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after="156" w:afterLines="50" w:line="580" w:lineRule="exact"/>
        <w:jc w:val="center"/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全市居民消费</w:t>
      </w:r>
      <w:r>
        <w:rPr>
          <w:rFonts w:ascii="Times New Roman" w:hAnsi="Times New Roman" w:eastAsia="方正小标宋简体"/>
          <w:color w:val="auto"/>
          <w:kern w:val="0"/>
          <w:sz w:val="32"/>
          <w:szCs w:val="32"/>
          <w:highlight w:val="none"/>
        </w:rPr>
        <w:t>价格指数（以上年为100）</w:t>
      </w:r>
    </w:p>
    <w:tbl>
      <w:tblPr>
        <w:tblStyle w:val="4"/>
        <w:tblW w:w="87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8"/>
        <w:gridCol w:w="3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1" w:leftChars="-1" w:hanging="1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指标名称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1" w:leftChars="-1" w:hanging="1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672" w:firstLineChars="24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居民消费价格指数（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CPI</w:t>
            </w: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食品烟酒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粮食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鲜菜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95.9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畜肉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水产品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蛋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332" w:firstLineChars="476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鲜果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衣着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居住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99.9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生活用品及服务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交通和通信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97.5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教育文化和娱乐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医疗保健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1002" w:firstLineChars="35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其他用品和服务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103.9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全年新增城镇就业人数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万人。全年新增私营企业7999户，新增注册资金412.0亿元；新增个体工商户3.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万户，新增个体从业人员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万人。年末全市实有个体工商户16.5万户，个体从业人员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37.6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万人；实有私营企业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万家，注册资金2937.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亿元。全市农民合作社1868个。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color w:val="auto"/>
          <w:sz w:val="32"/>
          <w:szCs w:val="32"/>
          <w:highlight w:val="none"/>
        </w:rPr>
        <w:t>二、农业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全年实现农林牧渔业总产值（现价）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151.5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亿元，按可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比价格计算，比上年增长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%。全年粮食播种面积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416.3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万亩，增长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%；粮食总产量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152.6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长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%。小麦产量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103.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万吨，增长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%，单产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502.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公斤/亩，全省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第一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。全年蔬菜及食用菌面积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17.0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万亩，增长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45.4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%。油料产量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22.6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%；水果（含瓜果类）产量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28.4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%。全年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生猪出栏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107.6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万头，增长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%；出栏牛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万头，增长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%；出栏羊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32.6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万只，增长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%；出栏家禽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1221.1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万只，增长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%；肉类总产量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11.9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%；禽蛋产量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%。水产品产量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万吨，增长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%。年末全市生猪存栏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70.0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万头、牛存栏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万头、羊存栏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17.0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万只、家禽存栏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432.6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万只。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年末全市农业机械总动力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289.0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万千瓦，比上年增长1.0%。全年完成机耕作业面积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225.9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千公顷，机播面积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277.0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千公顷，机收面积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271.9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千公顷。农药使用量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%，化肥使用量（折纯量）下降0.0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bCs/>
          <w:color w:val="auto"/>
          <w:kern w:val="0"/>
          <w:sz w:val="32"/>
          <w:szCs w:val="32"/>
          <w:highlight w:val="none"/>
        </w:rPr>
        <w:t>表四：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</w:rPr>
        <w:t>全市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主要农产品产量</w:t>
      </w:r>
    </w:p>
    <w:tbl>
      <w:tblPr>
        <w:tblStyle w:val="4"/>
        <w:tblW w:w="8883" w:type="dxa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2961"/>
        <w:gridCol w:w="29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完成数（吨）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粮食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1525976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0.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油料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5697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-22.6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#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花生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3971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-11.1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油菜籽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1247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-50.1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蔬菜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454378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水果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283901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肉类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118675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禽蛋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48995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61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551" w:firstLineChars="197"/>
              <w:jc w:val="left"/>
              <w:rPr>
                <w:rFonts w:asci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水产品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28245</w:t>
            </w:r>
          </w:p>
        </w:tc>
        <w:tc>
          <w:tcPr>
            <w:tcW w:w="2961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3.6</w:t>
            </w:r>
          </w:p>
        </w:tc>
      </w:tr>
    </w:tbl>
    <w:p>
      <w:pPr>
        <w:adjustRightInd w:val="0"/>
        <w:snapToGrid w:val="0"/>
        <w:spacing w:line="556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三、工业和建筑业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年末全市规模以上工业企业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675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家，规模以上工业增加值比上年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%；全市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个工业行业中有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4个行业增加值实现增长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其中煤炭行业增长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%，建材行业下降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%，电力行业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%，机械制造行业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16.5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%，煤化工行业增长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13.9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%，食品工业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酒饮料制造业增长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%。全市绿色食品和医药健康、新材料和精细化工、高端装备制造三大主导产业增加值占全市规上工业增加值的比重为26.6%，增加值同比增长25.2%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其中，绿色食品和医药健康产业增加值同比增长19.1%，新材料和精细化工产业增加值同比增长17.6%，高端装备制造产业增加值同比增长40.6%。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在重点统计的11种工业产品中，产品产量“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降”。其中，洗精煤产量147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万吨，比上年增长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%；发电量28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亿千瓦时，增长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原煤产量33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83.6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%；焦炭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427.2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12.4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%；水泥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631.6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白酒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25459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千升，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饲料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84.5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.8%；小麦粉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54.2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万吨，下降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%；服装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1119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万件，下降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%；锂离子电池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4848.5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万只，下降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0.3%;铝材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.6万吨，下降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全年规模以上工业企业实现营业收入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1561.9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%；实现利润总额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130.3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%。产品产销率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100.3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%，比上年提高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0.35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个百分点。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表五：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年全市规模以上工业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eastAsia="zh-CN"/>
        </w:rPr>
        <w:t>部分行业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增加值增长速度</w:t>
      </w:r>
    </w:p>
    <w:tbl>
      <w:tblPr>
        <w:tblStyle w:val="4"/>
        <w:tblW w:w="88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2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规上工业增加值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煤炭开采和洗选业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非金属矿物制品业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建材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电力、热力生产和供应业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酒、饮料和精制茶制造业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电气机械和器材制造业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医药制造业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化学原料和化学制品制造业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专用设备制造业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石油、煤炭及其他燃料加工业（焦炭）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农副食品加工业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105" w:rightChars="526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2.4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表六：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年工业主要产品产量及增长速度</w:t>
      </w:r>
    </w:p>
    <w:tbl>
      <w:tblPr>
        <w:tblStyle w:val="4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1563"/>
        <w:gridCol w:w="1948"/>
        <w:gridCol w:w="1948"/>
      </w:tblGrid>
      <w:tr>
        <w:trPr>
          <w:trHeight w:val="866" w:hRule="exact"/>
          <w:jc w:val="center"/>
        </w:trPr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计量单位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完成数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原煤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3383.6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洗精煤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1479.9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发电量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亿千瓦时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289.7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小麦粉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54.2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饲料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84.5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白酒（折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  <w:t>65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度商品量）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千升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25459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服装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万件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1119.0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焦炭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427.2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水泥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631.6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锂离子电池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万只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4848.5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-20.3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 xml:space="preserve">铝材 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67" w:leftChars="-32"/>
              <w:jc w:val="center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万吨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15.6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424" w:rightChars="202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-15.2</w:t>
            </w:r>
          </w:p>
        </w:tc>
      </w:tr>
    </w:tbl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全年建筑业增加值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55.5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亿元，比上年增长5.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%。年末全市资质内总承包和专业承包建筑业企业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家，全年完成建筑业总产值105.3亿元，比上年增长9%。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四、固定资产投资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全市固定资产投资（不含农户）比上年增长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%。从三次产业看，第一产业投资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24.9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%；第二产业投资增长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%；第三产业投资下降1.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%。工业投资增长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%。其中，采矿业投资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21.2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%，制造业投资增长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%，电力、燃气和水的生产供应业投资增长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34.1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%。工业技改投资增长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全年房地产开发完成投资比上年下降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18.7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%，其中住宅投资下降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20.3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%。商品房销售建筑面积下降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%，其中住宅销售建筑面积下降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%；房屋施工面积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30.6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%；房屋竣工面积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41.1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表七：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年全市分产业固定资产投资增长速度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3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行业</w:t>
            </w:r>
          </w:p>
        </w:tc>
        <w:tc>
          <w:tcPr>
            <w:tcW w:w="222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21" w:leftChars="-10" w:firstLine="22" w:firstLineChars="8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33" w:firstLineChars="12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固定资产投资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313" w:firstLineChars="112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第一产业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-24.9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313" w:firstLineChars="112"/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第二产业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590" w:firstLineChars="211"/>
              <w:rPr>
                <w:rFonts w:hint="eastAsia" w:ascii="Times New Roman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sz w:val="28"/>
                <w:szCs w:val="28"/>
                <w:highlight w:val="none"/>
                <w:lang w:eastAsia="zh-CN"/>
              </w:rPr>
              <w:t>工业投资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870" w:firstLineChars="311"/>
              <w:rPr>
                <w:rFonts w:hint="eastAsia" w:ascii="Times New Roman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sz w:val="28"/>
                <w:szCs w:val="28"/>
                <w:highlight w:val="none"/>
                <w:lang w:eastAsia="zh-CN"/>
              </w:rPr>
              <w:t>采矿业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-21.2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870" w:firstLineChars="311"/>
              <w:rPr>
                <w:rFonts w:hint="eastAsia" w:ascii="Times New Roman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sz w:val="28"/>
                <w:szCs w:val="28"/>
                <w:highlight w:val="none"/>
                <w:lang w:eastAsia="zh-CN"/>
              </w:rPr>
              <w:t>制造业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25.0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870" w:firstLineChars="311"/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eastAsia="zh-CN"/>
              </w:rPr>
              <w:t>电力行业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34.1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firstLine="313" w:firstLineChars="112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第三产业</w:t>
            </w:r>
          </w:p>
        </w:tc>
        <w:tc>
          <w:tcPr>
            <w:tcW w:w="222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right="1613" w:rightChars="768"/>
              <w:jc w:val="right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-1.5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五、国内贸易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全年实现社会消费品零售总额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524.6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%。按经营地统计，城镇消费品零售额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424.9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%；乡村消费品零售额9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%。按消费类型统计，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GB"/>
        </w:rPr>
        <w:t>实现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商品零售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493.9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.7%；餐饮收入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30.7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10.5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从限额以上单位商品零售类值看，全市粮油、食品类商品零售额增长2%；饮料类商品零售额增长10.8%；烟酒类商品零售额增长21.8%；服装、鞋帽、针纺织品类商品零售额下降1.4%；书报杂志类商品零售额下降23%；家用电器和音像器材类商品零售额增长0.5%；中西药品类商品零售额增长6.6%；石油及制品类商品零售额增长11.5%；汽车类商品零售额下降3.7%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六、对外经济和旅游业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全年实现外贸进出口总额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（人民币）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107.4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%。其中出口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15.8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%；进口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12.5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全市有相山风景区、隋唐大运河博物馆、四季榴园风景区、南湖风景区、双堆集烈士陵园、临涣文昌宫淮海战役总前委旧址及东湖风景区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18处A级景区，其中4A级景区3处，3A级景区13处，2A级景区2处；有口子国际大酒店及凌云宾馆等星级宾馆2家，其中五星级1家，3星级1家；有旅行社37家；有全国乡村旅游重点村2个、国家夜间文化和旅游消费集聚区1个；省级特色旅游名镇3个、省级特色旅游名村4个、省级旅游休闲街区1个；旅游从业人员1150人。成功举办“上海旅游节淮北分会场”活动、东北三省旅游宣传推介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/>
          <w:color w:val="auto"/>
          <w:kern w:val="0"/>
          <w:sz w:val="24"/>
          <w:szCs w:val="24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七、交通邮政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公路客运量133万人，旅客周转量4.1亿人公里，公路货运量1.3亿吨，货运周转量248亿吨公里。年末全市公路里程5417公里（包括村道），其中国道246公里（包括国家高速公路91公里），省道307公里，县道693公里，乡道1234公里，村道2936公里。年末全市汽车拥有量46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万辆，比上年增长3.3%，其中个人汽车拥有量41.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万辆，比上年增长4.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全年邮政行业完成业务总量8.7亿元，比上年增长13.5%；实现业务收入7.5亿元，增长13.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%。其中快递业务量4918.3万件，增长6.6%；快递业务收入3.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亿元，增长11.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。年末全市邮政营业网点56个，机要通信网点2个，邮乐购站点551个，信箱（筒）58处；全市共有快递企业17家，其中邮政速递物流公司（EMS）1家，民营快递企业16家，快递网点370个，各类车辆1163辆。全市邮政行业从业人员2800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28"/>
          <w:szCs w:val="28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八、财政、金融和保险业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实现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一般公共预算收入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104.8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比上年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%。一般公共预算支出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222.2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%。其中一般公共服务支出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16.2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%；社会保障和就业支出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33.2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17.9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%；卫生健康支出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21.5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%；农林水事务支出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23.7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3.9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%；教育支出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42.2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%；节能环保支出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下降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37.7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%；文化体育与传媒支出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24.3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表八：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</w:rPr>
        <w:t>全市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一般公共预算收支情况</w:t>
      </w:r>
    </w:p>
    <w:tbl>
      <w:tblPr>
        <w:tblStyle w:val="4"/>
        <w:tblW w:w="8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2552"/>
        <w:gridCol w:w="2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4" w:leftChars="-2" w:firstLine="3" w:firstLineChars="1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4" w:leftChars="-2" w:firstLine="3" w:firstLineChars="1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完成数（</w:t>
            </w:r>
            <w:r>
              <w:rPr>
                <w:rFonts w:hint="eastAsia"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亿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元）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4" w:leftChars="-2" w:firstLine="3" w:firstLineChars="1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比上年增减（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4" w:leftChars="-2" w:firstLine="2" w:firstLineChars="1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一般公共预算收入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104.8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-4" w:leftChars="-2" w:firstLine="2" w:firstLineChars="1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一般公共预算支出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222.2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一般公共服务支出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16.2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公共安全支出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9.7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教育支出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42.2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科学技术支出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8.4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社会保障和就业支出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33.2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卫生健康支出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21.5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节能环保支出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2.1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-37.7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城乡社区事务支出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23.8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文化体育与传媒支出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2.7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农林水事务支出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23.7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住房保障支出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18.6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52.3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年末全市金融机构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本外币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各项存款余额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2287.2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亿元，比年初增加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235.3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11.5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%。其中住户存款余额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1484.2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亿元，比年初增加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190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14.7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%；金融机构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本外币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各项贷款余额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1794.3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亿元，比年初增加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199.2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12.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%。金融存贷比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%，比上年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提高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个百分点。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表九：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年末全市金融机构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eastAsia="zh-CN"/>
        </w:rPr>
        <w:t>本外币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各项存贷款余额及增长速度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  <w:gridCol w:w="1621"/>
        <w:gridCol w:w="1607"/>
        <w:gridCol w:w="16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年末数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宋体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亿元）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比年初增加（亿元）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比上年末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增长（</w:t>
            </w: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金融机构</w:t>
            </w:r>
            <w:r>
              <w:rPr>
                <w:rFonts w:hint="eastAsia" w:ascii="Times New Roman" w:hAnsi="宋体"/>
                <w:color w:val="auto"/>
                <w:sz w:val="28"/>
                <w:szCs w:val="28"/>
                <w:highlight w:val="none"/>
                <w:lang w:eastAsia="zh-CN"/>
              </w:rPr>
              <w:t>本外币</w:t>
            </w: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各项存款余额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2287.2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235.3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住户存款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1484.2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190.0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非金融企业存款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473.3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28.8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机关团体存款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315.0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17.5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财政性存款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13.8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-0.7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非银行金融机构存款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0.3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-0.2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-46.1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金融机构</w:t>
            </w:r>
            <w:r>
              <w:rPr>
                <w:rFonts w:hint="eastAsia" w:ascii="Times New Roman" w:hAnsi="宋体"/>
                <w:color w:val="auto"/>
                <w:sz w:val="28"/>
                <w:szCs w:val="28"/>
                <w:highlight w:val="none"/>
                <w:lang w:eastAsia="zh-CN"/>
              </w:rPr>
              <w:t>本外币</w:t>
            </w: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各项贷款余额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1794.3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199.2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住户贷款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556.4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54.6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企（事）业单位贷款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1237.9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144.6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短期贷款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359.4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-10.5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sz w:val="28"/>
                <w:szCs w:val="28"/>
                <w:highlight w:val="none"/>
              </w:rPr>
              <w:t>中长期贷款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782.9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142.6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22.3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全年保费总收入44.6亿元，比上年增长3.3%，其中财产险业务保费收入17.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%；人身险业务保费收入27.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亿元，增长4.2%。全年赔付支出19.7亿元，增长20.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%，其中财产险业务赔付支出11.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亿元，增长14.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%；人身险业务赔付支出8.4亿元，增长29.7%。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全市4家证券机构证券账户（沪深合计）数量22.9万户，比上年增长10.8%，证券代理交易额2194.5亿元，比上年增长22.8%。年末共有330家企业在省区域四板市场挂牌。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九、教育和科学技术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年末全市共有各类中等职业技术学校5所，其中普通中专学校5所；当年招生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4747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18802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人，当年毕业学生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6023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人。普通中学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所，当年招生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42697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122208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人。其中高中21所，当年招生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14377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41522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人；初中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所，当年招生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28320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80686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人。小学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262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所，当年招生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29414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175722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人；幼儿园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361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所，入园儿童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19229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人。小学学龄人口入学率100%，初中学龄人口入学率100%；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九年义务教育巩固率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102.41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%。年末全市各级各类学校（不含普通高校）共有教职工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326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人，其中专任教师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2310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人。全市普通高中生均占有校舍建筑面积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24.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平方米，普通初中生均占有校舍建筑面积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19.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平方米，中职生均占有校舍建筑面积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33.2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平方米。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宋体"/>
          <w:b/>
          <w:color w:val="auto"/>
          <w:kern w:val="0"/>
          <w:sz w:val="32"/>
          <w:szCs w:val="32"/>
          <w:highlight w:val="none"/>
        </w:rPr>
        <w:t>表十：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年全市各类学校基本情况</w:t>
      </w:r>
    </w:p>
    <w:tbl>
      <w:tblPr>
        <w:tblStyle w:val="4"/>
        <w:tblW w:w="88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650"/>
        <w:gridCol w:w="1651"/>
        <w:gridCol w:w="1650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学校数（所）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招生数（人）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在校生数（人）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b/>
                <w:color w:val="auto"/>
                <w:kern w:val="0"/>
                <w:sz w:val="28"/>
                <w:szCs w:val="28"/>
                <w:highlight w:val="none"/>
              </w:rPr>
              <w:t>毕业生数（人）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33" w:firstLineChars="1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中等职业教育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540" w:rightChars="257"/>
              <w:jc w:val="right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4747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18802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33" w:firstLineChars="1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高中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540" w:rightChars="257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14377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41522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33" w:firstLineChars="1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初中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540" w:rightChars="257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28320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80686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33" w:firstLineChars="12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小学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540" w:rightChars="257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262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29414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175722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340" w:rightChars="162"/>
              <w:jc w:val="right"/>
              <w:rPr>
                <w:rFonts w:hint="default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27837</w:t>
            </w:r>
          </w:p>
        </w:tc>
      </w:tr>
    </w:tbl>
    <w:p>
      <w:pPr>
        <w:adjustRightInd w:val="0"/>
        <w:snapToGrid w:val="0"/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全市净增国家高新技术企业56家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规模以上高新技术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工业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企业达到225家，占规模以上工业企业的比重为33.3%。获省科技进步二等奖1项、三等奖2项。全年共签订各类技术合同853项，完成技术合同成交总额287.3亿元。全年专利授权量为2873件，其中发明专利授权量为497件，拥有有效发明专利2561件，每万人有效发明专利拥有量13.1件。2022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市全社会R&amp;D经费支出为27.2亿元，增长8.3%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全社会R&amp;D经费投入强度为2.09%，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较同期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提高0.03个百分点。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全年全市产品质量监督抽查318家企业18类47种620个批次产品和商品；完成强制检定计量器具64757台（件、组）；年末全市共有国家地理标志保护产品4个。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有气象台站2个，开展96121电话天气自动答询的台站1个，X波段天气雷达站1个，温室气体观测站1个，开展人工影响天气业务的单位1个。防雹、增雨累计收益面积约6000平方公里，增雨量约5000万立方米。全年降水量944.6毫米，年平均气温16.2摄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28"/>
          <w:szCs w:val="28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十、文化、卫生和体育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年末全市共有各级档案馆6个，其中国家综合档案馆5个，专业档案馆1个，馆藏档案资料138.7万卷、128.5万件，库馆总建筑面积3.1万平方米。全年全市报纸出版发行629.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万份，发行收入915.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元；出版物发行单位185家，销售总额2.3亿元。年末全市有广播电视台2座，电视转播台1座。全市共有12家数字影院，83块影幕。全市有文艺表演团体51家（其中国有艺术院团2家），国有博物馆9家，公共图书馆和文化馆各5家，音像制品经营单位0家，歌舞娱乐场所28家，网吧53家，电子游戏场所17家。全年共举办群众性文化活动3877次，专业文艺团体演出300场，各类表演团体送文化下乡280场，创作剧（节）目10个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共有医疗卫生机构967个（含村卫生室），床位12916张，卫生技术人员16068人。其中医院74个，床位9924张，卫生技术人员9079人，执业医师及助理医师3163人；乡镇及街道卫生院28个，床位1802张，卫生技术人员1822人，执业医师及助理医师919人；妇幼保健院（所、站）3所，床位441张，卫生技术人员594人，执业医师及助理医师207人；疾病预防控制中心5所，卫生技术人员153人，执业医师及助理医师84人；诊所、卫生所、医务室286个，执业医师及助理医师421人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举办全民健身活动287次，其中1000人以上活动45次，参加活动总人数25万人次。组织开展全市第一届全民健身运动会赛事活动。举办了“快乐健身”健身主题活动，长三角房车集结赛、长三角自行车赛等赛事活动和大型群体活动。我市运动员在省级以上比赛中获金牌22枚、银牌26枚、铜牌44枚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黑体" w:eastAsia="黑体"/>
          <w:bCs/>
          <w:color w:val="auto"/>
          <w:sz w:val="32"/>
          <w:szCs w:val="32"/>
          <w:highlight w:val="none"/>
        </w:rPr>
        <w:t>十一、人民生活和社会保障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全年居民人均可支配收入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34079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元，比上年增加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1574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4.8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%。城镇居民人均可支配收入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43786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2085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%。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城镇居民人均消费支出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21302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%。其中食品烟酒支出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7636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%；衣着支出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1804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%；居住支出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3760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%；生活用品及服务支出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1441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%；交通通讯支出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2402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7.5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%；教育文化娱乐支出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2031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%；医疗保健支出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1667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;其它用品和服务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563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1.8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%。年末城镇居民人均住房建筑面积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平方米，比上年增加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6.8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平方米。每百户城镇家庭拥有家用汽车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50.6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部，电冰箱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99.9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台，洗衣机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99.6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台，热水器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92.5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台，空调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196.7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台，彩色电视机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103.6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台，计算机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44.5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台，移动电话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254.9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农村居民人均可支配收入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18807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元，比上年增加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1312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7.5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%。农村居民人均消费支出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14949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%。其中食品烟酒支出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5436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%；衣着支出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1054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%；居住支出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3000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%；生活用品及服务支出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972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%；交通通讯支出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%；教育文化娱乐支出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1260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%；医疗保健支出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1360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其它用品和服务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%。年末农村居民人均住房建筑面积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55.4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平方米，比上年增加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4.6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平方米。每百户农村家庭拥有家用汽车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42.1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部，电冰箱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89.4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台，洗衣机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94.2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台，热水器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63.2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台，空调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129.1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台，彩色电视机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89.3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台，计算机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16.6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台，移动电话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256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spacing w:line="580" w:lineRule="exact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表</w:t>
      </w:r>
      <w:r>
        <w:rPr>
          <w:rFonts w:hint="eastAsia" w:ascii="Times New Roman" w:hAnsi="Times New Roman" w:eastAsia="方正小标宋简体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>：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highlight w:val="none"/>
        </w:rPr>
        <w:t>全市</w:t>
      </w:r>
      <w: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  <w:t>居民人均可支配收入、消费支出及增长速度</w:t>
      </w:r>
    </w:p>
    <w:tbl>
      <w:tblPr>
        <w:tblStyle w:val="4"/>
        <w:tblW w:w="90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024"/>
        <w:gridCol w:w="1024"/>
        <w:gridCol w:w="1024"/>
        <w:gridCol w:w="1024"/>
        <w:gridCol w:w="1024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tblHeader/>
        </w:trPr>
        <w:tc>
          <w:tcPr>
            <w:tcW w:w="28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指标名称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全体居民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城镇居民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农村居民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tblHeader/>
        </w:trPr>
        <w:tc>
          <w:tcPr>
            <w:tcW w:w="28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指标值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指标值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指标值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比上年增长（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%</w:t>
            </w:r>
            <w:r>
              <w:rPr>
                <w:rFonts w:ascii="Times New Roman" w:hAnsi="宋体" w:eastAsia="宋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可支配收入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34079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4.8</w:t>
            </w:r>
          </w:p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43786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18807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工资性收入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17755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24447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7227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经营净收入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7761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8447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6680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财产净收入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1373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2041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322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5.7</w:t>
            </w:r>
          </w:p>
        </w:tc>
      </w:tr>
      <w:tr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转移净收入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7190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8851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4578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消费支出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18834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21302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14949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食品烟酒支出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6781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7636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5436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衣着支出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1512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1804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1054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4"/>
                <w:highlight w:val="none"/>
              </w:rPr>
              <w:t>居住支出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3464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3760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3000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生活用品及服务支出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1259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1441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972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交通通信支出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2036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2402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1460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教育文化娱乐支出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1731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2031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1260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医疗保健支出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1547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1667 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1360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其他用品和服务支出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563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407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156" w:afterLines="50" w:line="58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2.9</w:t>
            </w:r>
          </w:p>
        </w:tc>
      </w:tr>
    </w:tbl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年末全市参加城镇职工基本养老保险人数43.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（在职）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。参加城乡居民基本养老保险人数73.7万人。参加失业保险人数28.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万人，增加0.12万人。年末全市领取失业保险金人数3112人。参加工伤保险人数35.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万人，增加0.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万人。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全市享受城市居民最低生活保障的人数为15.9万人，享受农村居民最低生活保障的人数为41.0万人。年末各类收养性单位60家，床位8378张，收养各类人员3454人。全年销售社会福利彩票1.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亿元，筹集社会福利资金1795.7万元。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全年培训残疾人1033人次，520名残疾人实现就业再就业。帮扶救助2048名贫困残疾学生和贫困残疾人家庭子女。为残疾人免费配发辅助器具813件，3866人次残疾人得到康复服务。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十二、城市建设、环境保护和安全生产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加快城市更新，完成老旧小区改造101个、既有住宅加装电梯42部，更新城市供水燃气污水管网29.4公里，建设口袋公园8个，累计建成海绵城市34.12平方公里。加快推动解决城市“停车难”问题，新增停车泊位20067个，释放小区地下车位14215个。我市在全国城管进社区现场会上作典型发言，生活垃圾分类获全国城市组三等奖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新增城建绿地37.32万平方米，改造提升绿地1.55万平方米，新增街头绿地（游园）8个，建成城市绿道10.01公里。年末城市人均道路面积23.52平方米，建成区绿化覆盖率47%，人均公园绿地面积19.79平方米，城市供水普及率100%，燃气普及率100%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市PM2.5平均浓度降至42.2微克/立方米，比上年下降0.3微克/立方米，完成省控目标。全年空气质量优良天数256天，优良率72.9%；集中式饮用水源地水质达标率100%；声环境质量符合功能区划标准，昼间年平均值54.4分贝；危险废物安全处置率100%。全年COD减排613.89吨、氨氮减排109.88吨、氮氧化物减排477.2吨、VOCs减排568.85吨。年末全市拥有环境空气监测点44个。空气主要污染物二氧化硫、二氧化氮、PM10、PM2.5平均浓度分别为7、26、70.3、42.2微克/立方米，臭氧日最大8小时滑动平均第90百分位数为166微克/立方米，一氧化碳日均值第95百分位数为1.2毫克/立方米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全年全市共发生各类安全生产事故23起，死亡25人，与上年相比，事故起数增加2起，上升9.5%，死亡人数增加1人，上升4.2%，发生3人以上较大事故1起。其中，工矿商贸共发生安全生产死亡事故15起，死亡15人（包括建筑行业发生事故10起，死亡10人，工商贸其它行业发生事故0起）；道路交通共发生死亡事故5起，死亡7人。</w:t>
      </w:r>
    </w:p>
    <w:p>
      <w:pPr>
        <w:spacing w:line="580" w:lineRule="exact"/>
        <w:ind w:firstLine="640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textAlignment w:val="auto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注：1、本公报数据为202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年末初步统计数。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2、生产总值及各产业增加值绝对数按现价计算，增长速度按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eastAsia="zh-CN"/>
        </w:rPr>
        <w:t>不变价格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3、国家统计局对三次产业和行业实行相对分离的划分标准，第一产业指农林牧渔业（不含农林牧渔服务业），第二产业指工业（不含开采辅助活动，金属制品、机械和设备修理业）和建筑业，第三产业指除第一产业、第二产业以外的其他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4、规模以上工业统计范围为年主营业务收入2000万元及以上的工业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eastAsia="zh-CN"/>
        </w:rPr>
        <w:t>法人单位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；固定资产投资统计范围为计划总投资500万元以上项目及房地产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；有资质的建筑业的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统计范围为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有总承包、专业承包资质的建筑业法人单位；限额以上批发和零售业的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统计范围为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年主营业务收入2000万元及以上的批发业、年主营业务收入500万元及以上的零售业单位；限额以上住宿和餐饮业的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统计范围为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年主营业务收入200万元及以上的住宿和餐饮业单位；房地产开发经营业的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统计范围为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有开发经营活动的全部房地产开发经营业法人单位。规模以上服务业的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统计范围为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</w:rPr>
        <w:t>年营业收入2000万元及以上服务业法人单位，包括：交通运输、仓储和邮政业，信息传输、软件和信息技术服务业，水利、环境和公共设施管理业三个门类和卫生行业大类；年营业收入1000万元及以上服务业法人单位，包括租赁和商务服务业，科学研究和技术服务业，教育三个门类，以及物业管理、房地产中介服务、房地产租赁经营和其他房地产业四个行业小类；年营业收入500万元及以上服务业法人单位，包括：居民服务、修理和其他服务业，文化、体育和娱乐业两个门类，以及社会工作行业大类。</w:t>
      </w:r>
    </w:p>
    <w:p>
      <w:pPr>
        <w:spacing w:line="580" w:lineRule="exact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F555D8A6"/>
    <w:rsid w:val="1DDF1EB9"/>
    <w:rsid w:val="1F9C5C52"/>
    <w:rsid w:val="23B61AA2"/>
    <w:rsid w:val="24222971"/>
    <w:rsid w:val="2BDFB7D6"/>
    <w:rsid w:val="2EFBEA1F"/>
    <w:rsid w:val="37F7C1AE"/>
    <w:rsid w:val="3FBD8F01"/>
    <w:rsid w:val="3FCF8D90"/>
    <w:rsid w:val="3FF763B8"/>
    <w:rsid w:val="3FFE9096"/>
    <w:rsid w:val="3FFF0C21"/>
    <w:rsid w:val="48E150AD"/>
    <w:rsid w:val="4EAD2709"/>
    <w:rsid w:val="4EFD3A5D"/>
    <w:rsid w:val="52CF2D14"/>
    <w:rsid w:val="5BC78C0C"/>
    <w:rsid w:val="5DFFCC19"/>
    <w:rsid w:val="6EF946ED"/>
    <w:rsid w:val="6FE31FF5"/>
    <w:rsid w:val="77F7B374"/>
    <w:rsid w:val="7D7D8DD6"/>
    <w:rsid w:val="7E6F5590"/>
    <w:rsid w:val="7F57C80B"/>
    <w:rsid w:val="7FFBBF50"/>
    <w:rsid w:val="8BE75324"/>
    <w:rsid w:val="9AB57FB4"/>
    <w:rsid w:val="AFBFBE7C"/>
    <w:rsid w:val="B9FF83D4"/>
    <w:rsid w:val="BBDCA52E"/>
    <w:rsid w:val="BBFF4DB9"/>
    <w:rsid w:val="BDEB9C0B"/>
    <w:rsid w:val="BFBB0D71"/>
    <w:rsid w:val="E6FB354A"/>
    <w:rsid w:val="E96F5D98"/>
    <w:rsid w:val="E99D602F"/>
    <w:rsid w:val="EEFFB8DC"/>
    <w:rsid w:val="EFDC16C8"/>
    <w:rsid w:val="F555D8A6"/>
    <w:rsid w:val="F66AA72A"/>
    <w:rsid w:val="F7FBC10E"/>
    <w:rsid w:val="FCBDC2B7"/>
    <w:rsid w:val="FD77E8CD"/>
    <w:rsid w:val="FDE9E327"/>
    <w:rsid w:val="FDFEED27"/>
    <w:rsid w:val="FDFF48D7"/>
    <w:rsid w:val="FECF075E"/>
    <w:rsid w:val="FF7E7B72"/>
    <w:rsid w:val="FFB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2024-04-19T08:29:00Z</dcterms:created>
  <dc:creator>greatwall</dc:creator>
  <cp:lastModifiedBy>遇健不散</cp:lastModifiedBy>
  <cp:lastPrinted>2024-04-23T23:01:00Z</cp:lastPrinted>
  <dcterms:modified xsi:type="dcterms:W3CDTF">2024-04-30T03:26:20Z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564F8CC46AF2414BA5A128A02C7B0374_13</vt:lpwstr>
  </property>
</Properties>
</file>